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10A9" w14:textId="63689D9B" w:rsidR="00F238C9" w:rsidRDefault="00F238C9" w:rsidP="00F238C9">
      <w:pPr>
        <w:pStyle w:val="a7"/>
        <w:ind w:right="142" w:firstLine="0"/>
        <w:contextualSpacing/>
        <w:rPr>
          <w:lang w:val="ru-RU"/>
        </w:rPr>
      </w:pPr>
      <w:r w:rsidRPr="00377B01">
        <w:rPr>
          <w:lang w:val="ru-RU"/>
        </w:rPr>
        <w:t>Приложение</w:t>
      </w:r>
      <w:r w:rsidR="00377B01">
        <w:rPr>
          <w:lang w:val="ru-RU"/>
        </w:rPr>
        <w:t xml:space="preserve"> «Разъяснения по форме № П (услуги)»</w:t>
      </w:r>
    </w:p>
    <w:p w14:paraId="70A53196" w14:textId="77777777" w:rsidR="00F238C9" w:rsidRPr="00F238C9" w:rsidRDefault="00F238C9" w:rsidP="00F238C9">
      <w:pPr>
        <w:pStyle w:val="a7"/>
        <w:ind w:right="142" w:firstLine="0"/>
        <w:contextualSpacing/>
        <w:rPr>
          <w:lang w:val="ru-RU"/>
        </w:rPr>
      </w:pPr>
    </w:p>
    <w:p w14:paraId="7DF6D52C" w14:textId="0F090C93" w:rsidR="00655934" w:rsidRPr="00531242" w:rsidRDefault="00655934" w:rsidP="00531242">
      <w:pPr>
        <w:pStyle w:val="a7"/>
        <w:ind w:right="142" w:firstLine="567"/>
        <w:contextualSpacing/>
      </w:pPr>
      <w:r w:rsidRPr="00531242">
        <w:t>Форму предоставляют юридические лица (кроме субъектов малого предпринимательства), оказывающие платные услуги населению</w:t>
      </w:r>
      <w:r w:rsidRPr="00531242">
        <w:rPr>
          <w:b/>
        </w:rPr>
        <w:t xml:space="preserve">, </w:t>
      </w:r>
      <w:r w:rsidRPr="00531242">
        <w:t xml:space="preserve">средняя численность работников которых превышает 15 человек, включая работающих по совместительству и договорам гражданско-правового характера. </w:t>
      </w:r>
    </w:p>
    <w:p w14:paraId="015CEDF4" w14:textId="77777777" w:rsidR="00655934" w:rsidRPr="00531242" w:rsidRDefault="00655934" w:rsidP="00531242">
      <w:pPr>
        <w:pStyle w:val="a7"/>
        <w:ind w:right="142" w:firstLine="567"/>
        <w:contextualSpacing/>
      </w:pPr>
      <w:r w:rsidRPr="00531242">
        <w:t>Форма заполняется по юридическому лицу, включая все территориально-обособленные подразделения (ТОСП), находящиеся в одном субъекте РФ с юридическим лицом</w:t>
      </w:r>
      <w:r w:rsidRPr="00531242">
        <w:rPr>
          <w:lang w:val="ru-RU"/>
        </w:rPr>
        <w:t>, а также на отдельном бланке по каждому обособленному подразделению, находящемуся на территории другого субъекта Российской Федерации (в отчет юридического лица эти подразделения не включаются).</w:t>
      </w:r>
      <w:r w:rsidRPr="00531242">
        <w:t xml:space="preserve"> </w:t>
      </w:r>
    </w:p>
    <w:p w14:paraId="4B98EF68" w14:textId="77777777" w:rsidR="00655934" w:rsidRPr="00531242" w:rsidRDefault="00655934" w:rsidP="00531242">
      <w:pPr>
        <w:pStyle w:val="a7"/>
        <w:ind w:right="142" w:firstLine="567"/>
        <w:contextualSpacing/>
      </w:pPr>
      <w:r w:rsidRPr="00531242">
        <w:t>При составлении отчета по форме следует иметь в виду, что по строке 01 приводится общий объем платных услуг населению в фактически действовавших рыночных ценах реализации с учетом НДС и других обязательных платежей, независимо от формы оплаты, в тысячах рублей, с одним десятичным знаком.</w:t>
      </w:r>
    </w:p>
    <w:p w14:paraId="452553EE" w14:textId="77777777" w:rsidR="00655934" w:rsidRPr="00531242" w:rsidRDefault="00655934" w:rsidP="00531242">
      <w:pPr>
        <w:pStyle w:val="a7"/>
        <w:ind w:right="142" w:firstLine="567"/>
        <w:contextualSpacing/>
      </w:pPr>
      <w:r w:rsidRPr="00531242">
        <w:t>Не включаются в объем платных услуг населению услуги, оказанные юридическим лицам, индивидуальным предпринимателям, для осуществления ими предпринимательской деятельности. Исключение составляют коммунальные услуги, оказанные ресурсоснабжающими организациями управляющим организациям, товариществам собственников жилья (ТСЖ, ЖСК, ЖК, ТСН и т.п.).</w:t>
      </w:r>
    </w:p>
    <w:p w14:paraId="736FCB74" w14:textId="77777777" w:rsidR="00655934" w:rsidRPr="00531242" w:rsidRDefault="00655934" w:rsidP="00531242">
      <w:pPr>
        <w:pStyle w:val="a7"/>
        <w:ind w:right="142" w:firstLine="567"/>
        <w:contextualSpacing/>
      </w:pPr>
      <w:r w:rsidRPr="00531242">
        <w:t>В отчете отражаются оперативные данные (оценка) за отчетный месяц (гр.1) и уточненные данные (фактический объем) за предыдущий месяц (гр.2). Значительное уточнение оперативных показателей (более 15%) необходимо пояснить в сопроводительном письме с указанием конкретной причины изменения данных. Не допускается корректировка месячных данных при обнаружении ошибки за длительный период. Уточнение данных нарастающим итогом с начала года производится в форме № 1 – услуги (годовая).</w:t>
      </w:r>
    </w:p>
    <w:p w14:paraId="22DD1F8C" w14:textId="77777777" w:rsidR="00655934" w:rsidRPr="00531242" w:rsidRDefault="00655934" w:rsidP="00531242">
      <w:pPr>
        <w:pStyle w:val="a7"/>
        <w:spacing w:after="0"/>
        <w:ind w:right="142" w:firstLine="567"/>
        <w:contextualSpacing/>
        <w:rPr>
          <w:lang w:val="ru-RU"/>
        </w:rPr>
      </w:pPr>
      <w:r w:rsidRPr="00531242">
        <w:rPr>
          <w:lang w:val="ru-RU"/>
        </w:rPr>
        <w:t>Обратите внимание: если в отчетном периоде наблюдаемое явление отсутствует, обязательно направление респондентом подписанного в установленном порядке отчета по форме, не заполненного значениями показателей («пустого» отчета). В этом случае должен заполняться исключительно титульный раздел формы, а в остальных разделах не должно указываться никаких значений данных, в том числе нулевых и прочерков.</w:t>
      </w:r>
    </w:p>
    <w:p w14:paraId="17F283F1" w14:textId="526FE1C7" w:rsidR="008F151D" w:rsidRPr="00531242" w:rsidRDefault="00655934" w:rsidP="00531242">
      <w:pPr>
        <w:tabs>
          <w:tab w:val="left" w:pos="13750"/>
        </w:tabs>
        <w:spacing w:after="0" w:line="240" w:lineRule="auto"/>
        <w:ind w:firstLine="709"/>
        <w:jc w:val="both"/>
        <w:rPr>
          <w:rFonts w:ascii="Times New Roman" w:hAnsi="Times New Roman" w:cs="Times New Roman"/>
          <w:sz w:val="28"/>
          <w:szCs w:val="28"/>
        </w:rPr>
      </w:pPr>
      <w:r w:rsidRPr="00531242">
        <w:rPr>
          <w:rFonts w:ascii="Times New Roman" w:hAnsi="Times New Roman" w:cs="Times New Roman"/>
          <w:sz w:val="28"/>
          <w:szCs w:val="28"/>
        </w:rPr>
        <w:t xml:space="preserve">В </w:t>
      </w:r>
      <w:r w:rsidR="00EE097F">
        <w:rPr>
          <w:rFonts w:ascii="Times New Roman" w:hAnsi="Times New Roman" w:cs="Times New Roman"/>
          <w:sz w:val="28"/>
          <w:szCs w:val="28"/>
        </w:rPr>
        <w:t xml:space="preserve">актуальной версии бланка формы </w:t>
      </w:r>
      <w:r w:rsidRPr="00531242">
        <w:rPr>
          <w:rFonts w:ascii="Times New Roman" w:hAnsi="Times New Roman" w:cs="Times New Roman"/>
          <w:sz w:val="28"/>
          <w:szCs w:val="28"/>
        </w:rPr>
        <w:t xml:space="preserve">на 2024 год, </w:t>
      </w:r>
      <w:r w:rsidR="008F151D" w:rsidRPr="00531242">
        <w:rPr>
          <w:rFonts w:ascii="Times New Roman" w:hAnsi="Times New Roman" w:cs="Times New Roman"/>
          <w:sz w:val="28"/>
          <w:szCs w:val="28"/>
        </w:rPr>
        <w:t>измени</w:t>
      </w:r>
      <w:r w:rsidR="00EE097F">
        <w:rPr>
          <w:rFonts w:ascii="Times New Roman" w:hAnsi="Times New Roman" w:cs="Times New Roman"/>
          <w:sz w:val="28"/>
          <w:szCs w:val="28"/>
        </w:rPr>
        <w:t>лась</w:t>
      </w:r>
      <w:r w:rsidR="008F151D" w:rsidRPr="00531242">
        <w:rPr>
          <w:rFonts w:ascii="Times New Roman" w:hAnsi="Times New Roman" w:cs="Times New Roman"/>
          <w:sz w:val="28"/>
          <w:szCs w:val="28"/>
        </w:rPr>
        <w:t xml:space="preserve"> нумерации строк по видам услуг. В отличие от </w:t>
      </w:r>
      <w:r w:rsidRPr="00531242">
        <w:rPr>
          <w:rFonts w:ascii="Times New Roman" w:hAnsi="Times New Roman" w:cs="Times New Roman"/>
          <w:sz w:val="28"/>
          <w:szCs w:val="28"/>
        </w:rPr>
        <w:t>бланка н</w:t>
      </w:r>
      <w:r w:rsidR="008F151D" w:rsidRPr="00531242">
        <w:rPr>
          <w:rFonts w:ascii="Times New Roman" w:hAnsi="Times New Roman" w:cs="Times New Roman"/>
          <w:sz w:val="28"/>
          <w:szCs w:val="28"/>
        </w:rPr>
        <w:t>а 202</w:t>
      </w:r>
      <w:r w:rsidRPr="00531242">
        <w:rPr>
          <w:rFonts w:ascii="Times New Roman" w:hAnsi="Times New Roman" w:cs="Times New Roman"/>
          <w:sz w:val="28"/>
          <w:szCs w:val="28"/>
        </w:rPr>
        <w:t>3</w:t>
      </w:r>
      <w:r w:rsidR="008F151D" w:rsidRPr="00531242">
        <w:rPr>
          <w:rFonts w:ascii="Times New Roman" w:hAnsi="Times New Roman" w:cs="Times New Roman"/>
          <w:sz w:val="28"/>
          <w:szCs w:val="28"/>
        </w:rPr>
        <w:t xml:space="preserve"> год</w:t>
      </w:r>
      <w:r w:rsidR="006968AD" w:rsidRPr="00531242">
        <w:rPr>
          <w:rFonts w:ascii="Times New Roman" w:hAnsi="Times New Roman" w:cs="Times New Roman"/>
          <w:sz w:val="28"/>
          <w:szCs w:val="28"/>
        </w:rPr>
        <w:t>,</w:t>
      </w:r>
      <w:r w:rsidR="008F151D" w:rsidRPr="00531242">
        <w:rPr>
          <w:rFonts w:ascii="Times New Roman" w:hAnsi="Times New Roman" w:cs="Times New Roman"/>
          <w:sz w:val="28"/>
          <w:szCs w:val="28"/>
        </w:rPr>
        <w:t xml:space="preserve"> все виды услуг являются самостоятельными строками</w:t>
      </w:r>
      <w:r w:rsidR="006968AD" w:rsidRPr="00531242">
        <w:rPr>
          <w:rFonts w:ascii="Times New Roman" w:hAnsi="Times New Roman" w:cs="Times New Roman"/>
          <w:sz w:val="28"/>
          <w:szCs w:val="28"/>
        </w:rPr>
        <w:t>: нет услуг «в том числе из…» (по аренде и лизингу легковых автомобилей и легких автотранспортных средств, услуги курьерской доставки, фитнес-центров и спортивных клубов, услуги санаторно-курортных организаций, электронные услуги и сервисы в области информационно-коммуникационных технологий)</w:t>
      </w:r>
      <w:r w:rsidR="00AD0D7F" w:rsidRPr="00531242">
        <w:rPr>
          <w:rFonts w:ascii="Times New Roman" w:hAnsi="Times New Roman" w:cs="Times New Roman"/>
          <w:sz w:val="28"/>
          <w:szCs w:val="28"/>
        </w:rPr>
        <w:t>.</w:t>
      </w:r>
    </w:p>
    <w:p w14:paraId="4DBC6E2C" w14:textId="688179B2" w:rsidR="00A53B26" w:rsidRPr="00531242" w:rsidRDefault="004655A3" w:rsidP="00531242">
      <w:pPr>
        <w:tabs>
          <w:tab w:val="left" w:pos="13750"/>
        </w:tabs>
        <w:spacing w:after="0" w:line="240" w:lineRule="auto"/>
        <w:ind w:firstLine="709"/>
        <w:jc w:val="both"/>
        <w:rPr>
          <w:rFonts w:ascii="Times New Roman" w:hAnsi="Times New Roman" w:cs="Times New Roman"/>
          <w:sz w:val="28"/>
          <w:szCs w:val="28"/>
        </w:rPr>
      </w:pPr>
      <w:r w:rsidRPr="00531242">
        <w:rPr>
          <w:rFonts w:ascii="Times New Roman" w:hAnsi="Times New Roman" w:cs="Times New Roman"/>
          <w:sz w:val="28"/>
          <w:szCs w:val="28"/>
        </w:rPr>
        <w:t>Обращаем внимание на внесенные дополнения в Указания по порядку отражения объема платных услуг, оказанных населению</w:t>
      </w:r>
      <w:r w:rsidR="00A7508B" w:rsidRPr="00531242">
        <w:rPr>
          <w:rFonts w:ascii="Times New Roman" w:hAnsi="Times New Roman" w:cs="Times New Roman"/>
          <w:sz w:val="28"/>
          <w:szCs w:val="28"/>
        </w:rPr>
        <w:t>:</w:t>
      </w:r>
    </w:p>
    <w:p w14:paraId="50DB5B9C" w14:textId="77777777" w:rsidR="004655A3" w:rsidRPr="00531242" w:rsidRDefault="004655A3" w:rsidP="00531242">
      <w:pPr>
        <w:pStyle w:val="a3"/>
        <w:numPr>
          <w:ilvl w:val="0"/>
          <w:numId w:val="4"/>
        </w:numPr>
        <w:tabs>
          <w:tab w:val="left" w:pos="13750"/>
        </w:tabs>
        <w:spacing w:after="0" w:line="240" w:lineRule="auto"/>
        <w:jc w:val="both"/>
        <w:rPr>
          <w:rFonts w:ascii="Times New Roman" w:hAnsi="Times New Roman" w:cs="Times New Roman"/>
          <w:sz w:val="28"/>
          <w:szCs w:val="28"/>
        </w:rPr>
      </w:pPr>
      <w:r w:rsidRPr="00531242">
        <w:rPr>
          <w:rFonts w:ascii="Times New Roman" w:hAnsi="Times New Roman" w:cs="Times New Roman"/>
          <w:sz w:val="28"/>
          <w:szCs w:val="28"/>
        </w:rPr>
        <w:lastRenderedPageBreak/>
        <w:t>Денежные средства (добровольные пожертвования) включаются в объем платных услуг, если платеж является обязательным условием получения услуги.</w:t>
      </w:r>
    </w:p>
    <w:p w14:paraId="0A565068" w14:textId="77777777" w:rsidR="004655A3" w:rsidRPr="00531242" w:rsidRDefault="0089381F" w:rsidP="00531242">
      <w:pPr>
        <w:pStyle w:val="a3"/>
        <w:numPr>
          <w:ilvl w:val="0"/>
          <w:numId w:val="4"/>
        </w:numPr>
        <w:tabs>
          <w:tab w:val="left" w:pos="13750"/>
        </w:tabs>
        <w:spacing w:after="0" w:line="240" w:lineRule="auto"/>
        <w:jc w:val="both"/>
        <w:rPr>
          <w:rFonts w:ascii="Times New Roman" w:hAnsi="Times New Roman" w:cs="Times New Roman"/>
          <w:sz w:val="28"/>
          <w:szCs w:val="28"/>
        </w:rPr>
      </w:pPr>
      <w:r w:rsidRPr="00531242">
        <w:rPr>
          <w:rFonts w:ascii="Times New Roman" w:hAnsi="Times New Roman" w:cs="Times New Roman"/>
          <w:sz w:val="28"/>
          <w:szCs w:val="28"/>
        </w:rPr>
        <w:t>Оплата билетов на посещение культурных мероприятий «Пушкинской картой» не учитывается.</w:t>
      </w:r>
    </w:p>
    <w:p w14:paraId="2C576C5D" w14:textId="77777777" w:rsidR="0089381F" w:rsidRPr="00531242" w:rsidRDefault="00F65821" w:rsidP="00531242">
      <w:pPr>
        <w:tabs>
          <w:tab w:val="left" w:pos="13750"/>
        </w:tabs>
        <w:spacing w:after="0" w:line="240" w:lineRule="auto"/>
        <w:contextualSpacing/>
        <w:jc w:val="both"/>
        <w:rPr>
          <w:rFonts w:ascii="Times New Roman" w:hAnsi="Times New Roman" w:cs="Times New Roman"/>
          <w:sz w:val="28"/>
          <w:szCs w:val="28"/>
        </w:rPr>
      </w:pPr>
      <w:r w:rsidRPr="00531242">
        <w:rPr>
          <w:rFonts w:ascii="Times New Roman" w:hAnsi="Times New Roman" w:cs="Times New Roman"/>
          <w:sz w:val="28"/>
          <w:szCs w:val="28"/>
        </w:rPr>
        <w:t>Дополнительные разъяснения по</w:t>
      </w:r>
      <w:r w:rsidR="0089381F" w:rsidRPr="00531242">
        <w:rPr>
          <w:rFonts w:ascii="Times New Roman" w:hAnsi="Times New Roman" w:cs="Times New Roman"/>
          <w:sz w:val="28"/>
          <w:szCs w:val="28"/>
        </w:rPr>
        <w:t xml:space="preserve"> учет</w:t>
      </w:r>
      <w:r w:rsidRPr="00531242">
        <w:rPr>
          <w:rFonts w:ascii="Times New Roman" w:hAnsi="Times New Roman" w:cs="Times New Roman"/>
          <w:sz w:val="28"/>
          <w:szCs w:val="28"/>
        </w:rPr>
        <w:t>у</w:t>
      </w:r>
      <w:r w:rsidR="0089381F" w:rsidRPr="00531242">
        <w:rPr>
          <w:rFonts w:ascii="Times New Roman" w:hAnsi="Times New Roman" w:cs="Times New Roman"/>
          <w:sz w:val="28"/>
          <w:szCs w:val="28"/>
        </w:rPr>
        <w:t xml:space="preserve"> отдельных видов услуг:</w:t>
      </w:r>
    </w:p>
    <w:p w14:paraId="30E509AC" w14:textId="77777777" w:rsidR="0089381F" w:rsidRPr="00531242" w:rsidRDefault="0089381F" w:rsidP="00531242">
      <w:pPr>
        <w:pStyle w:val="a3"/>
        <w:numPr>
          <w:ilvl w:val="0"/>
          <w:numId w:val="7"/>
        </w:numPr>
        <w:autoSpaceDE w:val="0"/>
        <w:autoSpaceDN w:val="0"/>
        <w:adjustRightInd w:val="0"/>
        <w:spacing w:before="60" w:after="0" w:line="240" w:lineRule="auto"/>
        <w:jc w:val="both"/>
        <w:rPr>
          <w:rFonts w:ascii="Times New Roman" w:hAnsi="Times New Roman" w:cs="Times New Roman"/>
          <w:sz w:val="28"/>
          <w:szCs w:val="28"/>
        </w:rPr>
      </w:pPr>
      <w:r w:rsidRPr="00531242">
        <w:rPr>
          <w:rFonts w:ascii="Times New Roman" w:hAnsi="Times New Roman" w:cs="Times New Roman"/>
          <w:sz w:val="28"/>
          <w:szCs w:val="28"/>
        </w:rPr>
        <w:t>Стоимость сертификатов дополнительного сервиса при покупке населением бытовой техники и аппаратуры (после окончания гарантийного срока) отражается по строке 04 «Ремонт и техническое обслуживание бытовой радиоэлектронной аппаратуры, бытовых машин и приборов, ремонт и изготовление металлоизделий</w:t>
      </w:r>
    </w:p>
    <w:p w14:paraId="5DB0D5D0" w14:textId="77777777" w:rsidR="008D3F52" w:rsidRPr="00531242" w:rsidRDefault="0089381F" w:rsidP="00531242">
      <w:pPr>
        <w:pStyle w:val="a3"/>
        <w:numPr>
          <w:ilvl w:val="0"/>
          <w:numId w:val="6"/>
        </w:numPr>
        <w:tabs>
          <w:tab w:val="left" w:pos="13750"/>
        </w:tabs>
        <w:spacing w:line="240" w:lineRule="auto"/>
        <w:ind w:left="709"/>
        <w:jc w:val="both"/>
        <w:rPr>
          <w:rFonts w:ascii="Times New Roman" w:hAnsi="Times New Roman" w:cs="Times New Roman"/>
          <w:sz w:val="28"/>
          <w:szCs w:val="28"/>
        </w:rPr>
      </w:pPr>
      <w:r w:rsidRPr="00531242">
        <w:rPr>
          <w:rFonts w:ascii="Times New Roman" w:hAnsi="Times New Roman" w:cs="Times New Roman"/>
          <w:sz w:val="28"/>
          <w:szCs w:val="28"/>
        </w:rPr>
        <w:t>Услуги по ремонту автотранспортных средств, оплаченных</w:t>
      </w:r>
      <w:r w:rsidR="008F151D" w:rsidRPr="00531242">
        <w:rPr>
          <w:rFonts w:ascii="Times New Roman" w:hAnsi="Times New Roman" w:cs="Times New Roman"/>
          <w:sz w:val="28"/>
          <w:szCs w:val="28"/>
        </w:rPr>
        <w:t xml:space="preserve"> страховыми компаниями, учитывается по строке 05.</w:t>
      </w:r>
    </w:p>
    <w:p w14:paraId="64076D98" w14:textId="77777777" w:rsidR="008F151D" w:rsidRPr="00531242" w:rsidRDefault="00AD0D7F" w:rsidP="00531242">
      <w:pPr>
        <w:pStyle w:val="a3"/>
        <w:numPr>
          <w:ilvl w:val="0"/>
          <w:numId w:val="6"/>
        </w:numPr>
        <w:tabs>
          <w:tab w:val="left" w:pos="13750"/>
        </w:tabs>
        <w:spacing w:line="240" w:lineRule="auto"/>
        <w:ind w:left="709"/>
        <w:jc w:val="both"/>
        <w:rPr>
          <w:rFonts w:ascii="Times New Roman" w:hAnsi="Times New Roman" w:cs="Times New Roman"/>
          <w:sz w:val="28"/>
          <w:szCs w:val="28"/>
        </w:rPr>
      </w:pPr>
      <w:r w:rsidRPr="00531242">
        <w:rPr>
          <w:rFonts w:ascii="Times New Roman" w:hAnsi="Times New Roman" w:cs="Times New Roman"/>
          <w:sz w:val="28"/>
          <w:szCs w:val="28"/>
        </w:rPr>
        <w:t xml:space="preserve">По строке 19 «Услуги курьерской доставки» учитываются услуги по доставке </w:t>
      </w:r>
      <w:r w:rsidR="00725428" w:rsidRPr="00531242">
        <w:rPr>
          <w:rFonts w:ascii="Times New Roman" w:hAnsi="Times New Roman" w:cs="Times New Roman"/>
          <w:sz w:val="28"/>
          <w:szCs w:val="28"/>
        </w:rPr>
        <w:t xml:space="preserve">еды, </w:t>
      </w:r>
      <w:r w:rsidRPr="00531242">
        <w:rPr>
          <w:rFonts w:ascii="Times New Roman" w:hAnsi="Times New Roman" w:cs="Times New Roman"/>
          <w:sz w:val="28"/>
          <w:szCs w:val="28"/>
        </w:rPr>
        <w:t xml:space="preserve">продовольственных и непродовольственных товаров, в том числе </w:t>
      </w:r>
      <w:r w:rsidR="00725428" w:rsidRPr="00531242">
        <w:rPr>
          <w:rFonts w:ascii="Times New Roman" w:hAnsi="Times New Roman" w:cs="Times New Roman"/>
          <w:sz w:val="28"/>
          <w:szCs w:val="28"/>
        </w:rPr>
        <w:t>с использованием одного или нескольких видов транспорта. А также стоимость сборки заказов и (или) возврата на склад товаров при отказе.</w:t>
      </w:r>
    </w:p>
    <w:p w14:paraId="0C0442AE" w14:textId="77777777" w:rsidR="00725428" w:rsidRPr="00531242" w:rsidRDefault="00C02E14" w:rsidP="00531242">
      <w:pPr>
        <w:pStyle w:val="a3"/>
        <w:numPr>
          <w:ilvl w:val="0"/>
          <w:numId w:val="6"/>
        </w:numPr>
        <w:tabs>
          <w:tab w:val="left" w:pos="13750"/>
        </w:tabs>
        <w:spacing w:line="240" w:lineRule="auto"/>
        <w:ind w:left="709"/>
        <w:jc w:val="both"/>
        <w:rPr>
          <w:rFonts w:ascii="Times New Roman" w:hAnsi="Times New Roman" w:cs="Times New Roman"/>
          <w:sz w:val="28"/>
          <w:szCs w:val="28"/>
        </w:rPr>
      </w:pPr>
      <w:r w:rsidRPr="00531242">
        <w:rPr>
          <w:rFonts w:ascii="Times New Roman" w:hAnsi="Times New Roman" w:cs="Times New Roman"/>
          <w:sz w:val="28"/>
          <w:szCs w:val="28"/>
        </w:rPr>
        <w:t>Оплата студентов за проживание в общежитиях, оплата домофона учитываются в составе жилищных услуг по строке 21.</w:t>
      </w:r>
    </w:p>
    <w:p w14:paraId="1A7EB440" w14:textId="77777777" w:rsidR="00C02E14" w:rsidRPr="00531242" w:rsidRDefault="00C02E14" w:rsidP="00531242">
      <w:pPr>
        <w:pStyle w:val="a3"/>
        <w:numPr>
          <w:ilvl w:val="0"/>
          <w:numId w:val="6"/>
        </w:numPr>
        <w:tabs>
          <w:tab w:val="left" w:pos="13750"/>
        </w:tabs>
        <w:spacing w:line="240" w:lineRule="auto"/>
        <w:ind w:left="709"/>
        <w:jc w:val="both"/>
        <w:rPr>
          <w:rFonts w:ascii="Times New Roman" w:hAnsi="Times New Roman" w:cs="Times New Roman"/>
          <w:sz w:val="28"/>
          <w:szCs w:val="28"/>
        </w:rPr>
      </w:pPr>
      <w:r w:rsidRPr="00531242">
        <w:rPr>
          <w:rFonts w:ascii="Times New Roman" w:hAnsi="Times New Roman" w:cs="Times New Roman"/>
          <w:sz w:val="28"/>
          <w:szCs w:val="28"/>
        </w:rPr>
        <w:t>Строка 22 «коммунальные услуги» заполняется ресурсоснабжающими организациями, а также органами местного самоуправления (если они обеспечивают население теплоэнергией, водоснабжением и другими коммунальными услугами). При этом, в отчете отражается фактически внесенная плата за коммунальные услуги как по прямым договорам с населением, так и по договорам с управляющими компаниями, ТСЖ, ЖСК (или иными организациями), принимающими платежи от физических лиц.</w:t>
      </w:r>
    </w:p>
    <w:p w14:paraId="09D5C715" w14:textId="6050138D" w:rsidR="00527869" w:rsidRPr="00531242" w:rsidRDefault="00FF1891" w:rsidP="00531242">
      <w:pPr>
        <w:pStyle w:val="a3"/>
        <w:numPr>
          <w:ilvl w:val="0"/>
          <w:numId w:val="6"/>
        </w:numPr>
        <w:tabs>
          <w:tab w:val="left" w:pos="13750"/>
        </w:tabs>
        <w:spacing w:line="240" w:lineRule="auto"/>
        <w:ind w:left="709"/>
        <w:jc w:val="both"/>
        <w:rPr>
          <w:rFonts w:ascii="Times New Roman" w:hAnsi="Times New Roman" w:cs="Times New Roman"/>
          <w:sz w:val="28"/>
          <w:szCs w:val="28"/>
        </w:rPr>
      </w:pPr>
      <w:r w:rsidRPr="00531242">
        <w:rPr>
          <w:rFonts w:ascii="Times New Roman" w:hAnsi="Times New Roman" w:cs="Times New Roman"/>
          <w:sz w:val="28"/>
          <w:szCs w:val="28"/>
        </w:rPr>
        <w:t xml:space="preserve">По строке 24 «Услуги туристических агентств, туроператоров и прочие услуги по бронированию и сопутствующие им услуги» туристская фирма показывает полную стоимость, реализованного непосредственно населению, турпакета. </w:t>
      </w:r>
    </w:p>
    <w:p w14:paraId="69431D36" w14:textId="77777777" w:rsidR="00C02E14" w:rsidRPr="00531242" w:rsidRDefault="00FF1891" w:rsidP="00531242">
      <w:pPr>
        <w:pStyle w:val="a3"/>
        <w:tabs>
          <w:tab w:val="left" w:pos="13750"/>
        </w:tabs>
        <w:spacing w:line="240" w:lineRule="auto"/>
        <w:ind w:left="709"/>
        <w:jc w:val="both"/>
        <w:rPr>
          <w:rFonts w:ascii="Times New Roman" w:hAnsi="Times New Roman" w:cs="Times New Roman"/>
          <w:sz w:val="28"/>
          <w:szCs w:val="28"/>
        </w:rPr>
      </w:pPr>
      <w:r w:rsidRPr="00531242">
        <w:rPr>
          <w:rFonts w:ascii="Times New Roman" w:hAnsi="Times New Roman" w:cs="Times New Roman"/>
          <w:sz w:val="28"/>
          <w:szCs w:val="28"/>
        </w:rPr>
        <w:t xml:space="preserve">Если турфирма занимается также продажей транспортных билетов населению, номеров  в гостиницы, </w:t>
      </w:r>
      <w:r w:rsidR="00527869" w:rsidRPr="00531242">
        <w:rPr>
          <w:rFonts w:ascii="Times New Roman" w:hAnsi="Times New Roman" w:cs="Times New Roman"/>
          <w:sz w:val="28"/>
          <w:szCs w:val="28"/>
        </w:rPr>
        <w:t xml:space="preserve">путевок в санаторно-курортные организации, </w:t>
      </w:r>
      <w:r w:rsidRPr="00531242">
        <w:rPr>
          <w:rFonts w:ascii="Times New Roman" w:hAnsi="Times New Roman" w:cs="Times New Roman"/>
          <w:sz w:val="28"/>
          <w:szCs w:val="28"/>
        </w:rPr>
        <w:t>заключив при этом агентский договор с поставщиком услуги, то в своем отчете</w:t>
      </w:r>
      <w:r w:rsidR="00527869" w:rsidRPr="00531242">
        <w:rPr>
          <w:rFonts w:ascii="Times New Roman" w:hAnsi="Times New Roman" w:cs="Times New Roman"/>
          <w:sz w:val="28"/>
          <w:szCs w:val="28"/>
        </w:rPr>
        <w:t xml:space="preserve"> туристская фирма  отразит соответственно: по транспортным услугам (строка 17) - сумму комиссионных (агентских) вознаграждений; по строке 25 «услуги гостиниц и аналогичные услуги по предоставлению временного жилья» - стоимость всех проданных номеров населению, за исключением номеров, реализованных в составе турпакета; по строке 30 – полную стоимость путевок в санаторно-курортные организации</w:t>
      </w:r>
      <w:r w:rsidR="00C8374D" w:rsidRPr="00531242">
        <w:rPr>
          <w:rFonts w:ascii="Times New Roman" w:hAnsi="Times New Roman" w:cs="Times New Roman"/>
          <w:sz w:val="28"/>
          <w:szCs w:val="28"/>
        </w:rPr>
        <w:t>, включая услуги лагерей санаторного типа.</w:t>
      </w:r>
    </w:p>
    <w:p w14:paraId="4EC47D61" w14:textId="77777777" w:rsidR="00E930A1" w:rsidRPr="00531242" w:rsidRDefault="00C8374D" w:rsidP="00531242">
      <w:pPr>
        <w:pStyle w:val="a3"/>
        <w:numPr>
          <w:ilvl w:val="0"/>
          <w:numId w:val="6"/>
        </w:numPr>
        <w:spacing w:after="0" w:line="240" w:lineRule="auto"/>
        <w:ind w:left="709" w:hanging="317"/>
        <w:jc w:val="both"/>
        <w:rPr>
          <w:rFonts w:ascii="Times New Roman" w:hAnsi="Times New Roman" w:cs="Times New Roman"/>
          <w:sz w:val="28"/>
          <w:szCs w:val="28"/>
        </w:rPr>
      </w:pPr>
      <w:r w:rsidRPr="00531242">
        <w:rPr>
          <w:rFonts w:ascii="Times New Roman" w:hAnsi="Times New Roman" w:cs="Times New Roman"/>
          <w:sz w:val="28"/>
          <w:szCs w:val="28"/>
        </w:rPr>
        <w:t>По строке 25 гостиницы (отели, мотели, хостелы, гостевые дома и другие организации гостиничного типа) показывают стоимость всех проданных номеров населению, за исключением реализованных турфирмами</w:t>
      </w:r>
      <w:r w:rsidR="00CC0459" w:rsidRPr="00531242">
        <w:rPr>
          <w:rFonts w:ascii="Times New Roman" w:hAnsi="Times New Roman" w:cs="Times New Roman"/>
          <w:sz w:val="28"/>
          <w:szCs w:val="28"/>
        </w:rPr>
        <w:t>.</w:t>
      </w:r>
    </w:p>
    <w:p w14:paraId="630AC721" w14:textId="553717A7" w:rsidR="00CC0459" w:rsidRPr="00531242" w:rsidRDefault="00CC0459" w:rsidP="00531242">
      <w:pPr>
        <w:pStyle w:val="a3"/>
        <w:numPr>
          <w:ilvl w:val="0"/>
          <w:numId w:val="6"/>
        </w:numPr>
        <w:spacing w:after="0" w:line="240" w:lineRule="auto"/>
        <w:ind w:left="709" w:hanging="317"/>
        <w:jc w:val="both"/>
        <w:rPr>
          <w:rFonts w:ascii="Times New Roman" w:hAnsi="Times New Roman" w:cs="Times New Roman"/>
          <w:sz w:val="28"/>
          <w:szCs w:val="28"/>
        </w:rPr>
      </w:pPr>
      <w:r w:rsidRPr="00531242">
        <w:rPr>
          <w:rFonts w:ascii="Times New Roman" w:hAnsi="Times New Roman" w:cs="Times New Roman"/>
          <w:sz w:val="28"/>
          <w:szCs w:val="28"/>
        </w:rPr>
        <w:lastRenderedPageBreak/>
        <w:t>По строке 29 организации отдыха (дома отдыха, пансионаты, базы отдыха, турбазы, детские оздоровительные лагеря) показывают стоимость путевок, за исключением путевок, реализованных населению турфирмами. Поступления из бюджетов всех уровней в отчет по форме №</w:t>
      </w:r>
      <w:r w:rsidR="00655934" w:rsidRPr="00531242">
        <w:rPr>
          <w:rFonts w:ascii="Times New Roman" w:hAnsi="Times New Roman" w:cs="Times New Roman"/>
          <w:sz w:val="28"/>
          <w:szCs w:val="28"/>
        </w:rPr>
        <w:t>П (</w:t>
      </w:r>
      <w:r w:rsidRPr="00531242">
        <w:rPr>
          <w:rFonts w:ascii="Times New Roman" w:hAnsi="Times New Roman" w:cs="Times New Roman"/>
          <w:sz w:val="28"/>
          <w:szCs w:val="28"/>
        </w:rPr>
        <w:t>услуги</w:t>
      </w:r>
      <w:r w:rsidR="00655934" w:rsidRPr="00531242">
        <w:rPr>
          <w:rFonts w:ascii="Times New Roman" w:hAnsi="Times New Roman" w:cs="Times New Roman"/>
          <w:sz w:val="28"/>
          <w:szCs w:val="28"/>
        </w:rPr>
        <w:t>)</w:t>
      </w:r>
      <w:r w:rsidRPr="00531242">
        <w:rPr>
          <w:rFonts w:ascii="Times New Roman" w:hAnsi="Times New Roman" w:cs="Times New Roman"/>
          <w:sz w:val="28"/>
          <w:szCs w:val="28"/>
        </w:rPr>
        <w:t xml:space="preserve"> не включаются.</w:t>
      </w:r>
    </w:p>
    <w:p w14:paraId="2F863579" w14:textId="35F9AD3A" w:rsidR="00CC0459" w:rsidRPr="00531242" w:rsidRDefault="00CC0459" w:rsidP="00531242">
      <w:pPr>
        <w:pStyle w:val="a3"/>
        <w:numPr>
          <w:ilvl w:val="0"/>
          <w:numId w:val="6"/>
        </w:numPr>
        <w:spacing w:after="0" w:line="240" w:lineRule="auto"/>
        <w:ind w:left="709" w:hanging="317"/>
        <w:jc w:val="both"/>
        <w:rPr>
          <w:rFonts w:ascii="Times New Roman" w:hAnsi="Times New Roman" w:cs="Times New Roman"/>
          <w:sz w:val="28"/>
          <w:szCs w:val="28"/>
        </w:rPr>
      </w:pPr>
      <w:r w:rsidRPr="00531242">
        <w:rPr>
          <w:rFonts w:ascii="Times New Roman" w:hAnsi="Times New Roman" w:cs="Times New Roman"/>
          <w:sz w:val="28"/>
          <w:szCs w:val="28"/>
        </w:rPr>
        <w:t>По строке 30 санаторные организации показывают стоимость путевок, за исключением путевок, реализованных населению турфирмами. Поступления из бюджетов всех уровней в отчет по форме №</w:t>
      </w:r>
      <w:r w:rsidR="00655934" w:rsidRPr="00531242">
        <w:rPr>
          <w:rFonts w:ascii="Times New Roman" w:hAnsi="Times New Roman" w:cs="Times New Roman"/>
          <w:sz w:val="28"/>
          <w:szCs w:val="28"/>
        </w:rPr>
        <w:t>П (</w:t>
      </w:r>
      <w:r w:rsidRPr="00531242">
        <w:rPr>
          <w:rFonts w:ascii="Times New Roman" w:hAnsi="Times New Roman" w:cs="Times New Roman"/>
          <w:sz w:val="28"/>
          <w:szCs w:val="28"/>
        </w:rPr>
        <w:t>услуги</w:t>
      </w:r>
      <w:r w:rsidR="00655934" w:rsidRPr="00531242">
        <w:rPr>
          <w:rFonts w:ascii="Times New Roman" w:hAnsi="Times New Roman" w:cs="Times New Roman"/>
          <w:sz w:val="28"/>
          <w:szCs w:val="28"/>
        </w:rPr>
        <w:t>)</w:t>
      </w:r>
      <w:r w:rsidRPr="00531242">
        <w:rPr>
          <w:rFonts w:ascii="Times New Roman" w:hAnsi="Times New Roman" w:cs="Times New Roman"/>
          <w:sz w:val="28"/>
          <w:szCs w:val="28"/>
        </w:rPr>
        <w:t xml:space="preserve"> не включаются.</w:t>
      </w:r>
    </w:p>
    <w:p w14:paraId="7FA22A9B" w14:textId="77777777" w:rsidR="000F7627" w:rsidRPr="00531242" w:rsidRDefault="00CC0459" w:rsidP="00531242">
      <w:pPr>
        <w:pStyle w:val="a3"/>
        <w:numPr>
          <w:ilvl w:val="0"/>
          <w:numId w:val="6"/>
        </w:numPr>
        <w:spacing w:after="0" w:line="240" w:lineRule="auto"/>
        <w:ind w:left="709" w:hanging="283"/>
        <w:jc w:val="both"/>
        <w:rPr>
          <w:rFonts w:ascii="Times New Roman" w:hAnsi="Times New Roman" w:cs="Times New Roman"/>
          <w:sz w:val="28"/>
          <w:szCs w:val="28"/>
        </w:rPr>
      </w:pPr>
      <w:r w:rsidRPr="00531242">
        <w:rPr>
          <w:rFonts w:ascii="Times New Roman" w:hAnsi="Times New Roman" w:cs="Times New Roman"/>
          <w:sz w:val="28"/>
          <w:szCs w:val="28"/>
        </w:rPr>
        <w:t>По строке 36 «прочие платные услуги» перечень услуг также определен. В данной строке учитываются услуги  по обмену</w:t>
      </w:r>
      <w:r w:rsidR="000F7627" w:rsidRPr="00531242">
        <w:rPr>
          <w:rFonts w:ascii="Times New Roman" w:hAnsi="Times New Roman" w:cs="Times New Roman"/>
          <w:sz w:val="28"/>
          <w:szCs w:val="28"/>
        </w:rPr>
        <w:t xml:space="preserve"> и приватизации жилья; по технической инвентаризации недвижимого имущества; услуги многофункциональных центров по ксерокопированию и ламинированию документов, передаче факсимильных сообщений, оформлению (заполнению) бланков документов; услуги по охране жилья (включая услуги вневедомственной охраны); услуги по оценке риска и ущерба; услуги по сдаче в аренду (найм) собственного или арендованного недвижимого имущества; услуги по предоставлению временного жилья на краткосрочной или сезонной основе (например, посуточное проживание в общежитиях); услуги салонов татуировок, салонов пирсинга, поверка счетчиков и другое. </w:t>
      </w:r>
    </w:p>
    <w:p w14:paraId="0B4970AD" w14:textId="23EE350B" w:rsidR="000F7627" w:rsidRPr="00531242" w:rsidRDefault="00F238C9" w:rsidP="005312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некоторых случаях</w:t>
      </w:r>
      <w:r w:rsidR="000F7627" w:rsidRPr="00531242">
        <w:rPr>
          <w:rFonts w:ascii="Times New Roman" w:hAnsi="Times New Roman" w:cs="Times New Roman"/>
          <w:sz w:val="28"/>
          <w:szCs w:val="28"/>
        </w:rPr>
        <w:t xml:space="preserve"> респонденты, испытывая затруднения при отнесении к конкретным видам услуг, относят объем платных услуг к прочим видам. Каждый вид услуги является собирательным в соответствии с видами деятельности. Перечень размещен на официальном сайте Росстата в информационно-телекоммуникационной сети «Интернет» (https://rosstat.gov.ru) в разделе Статистика/ Официальная статистика/ Платные услуги населению/ Методология/ Перечень платных услуг населению на основе ОКВЭД2 и ОКПД2. Кроме того, Вы можете обратиться за консультацией к специалистам отдела статистики рыночных услуг Нижегородстата по электронной почте </w:t>
      </w:r>
      <w:r w:rsidR="00BB7CDA" w:rsidRPr="00531242">
        <w:rPr>
          <w:rFonts w:ascii="Times New Roman" w:hAnsi="Times New Roman" w:cs="Times New Roman"/>
          <w:sz w:val="28"/>
          <w:szCs w:val="28"/>
        </w:rPr>
        <w:t xml:space="preserve">52.spasiuknv@rosstat.gov.ru </w:t>
      </w:r>
      <w:r w:rsidR="000F7627" w:rsidRPr="00531242">
        <w:rPr>
          <w:rFonts w:ascii="Times New Roman" w:hAnsi="Times New Roman" w:cs="Times New Roman"/>
          <w:sz w:val="28"/>
          <w:szCs w:val="28"/>
        </w:rPr>
        <w:t xml:space="preserve">и/или по телефону (831)4291919 (доп. </w:t>
      </w:r>
      <w:r w:rsidR="00BB7CDA" w:rsidRPr="00531242">
        <w:rPr>
          <w:rFonts w:ascii="Times New Roman" w:hAnsi="Times New Roman" w:cs="Times New Roman"/>
          <w:sz w:val="28"/>
          <w:szCs w:val="28"/>
        </w:rPr>
        <w:t>433</w:t>
      </w:r>
      <w:r w:rsidR="000F7627" w:rsidRPr="00531242">
        <w:rPr>
          <w:rFonts w:ascii="Times New Roman" w:hAnsi="Times New Roman" w:cs="Times New Roman"/>
          <w:sz w:val="28"/>
          <w:szCs w:val="28"/>
        </w:rPr>
        <w:t>).</w:t>
      </w:r>
    </w:p>
    <w:p w14:paraId="1B7453C6" w14:textId="77777777" w:rsidR="000F7627" w:rsidRPr="00531242" w:rsidRDefault="000F7627" w:rsidP="000F7627">
      <w:pPr>
        <w:ind w:firstLine="709"/>
        <w:jc w:val="both"/>
        <w:rPr>
          <w:rFonts w:ascii="Times New Roman" w:hAnsi="Times New Roman" w:cs="Times New Roman"/>
          <w:sz w:val="28"/>
          <w:szCs w:val="28"/>
        </w:rPr>
      </w:pPr>
    </w:p>
    <w:p w14:paraId="58BE8BE0" w14:textId="77777777" w:rsidR="00CC0459" w:rsidRPr="00531242" w:rsidRDefault="00CC0459" w:rsidP="000F7627">
      <w:pPr>
        <w:pStyle w:val="a3"/>
        <w:spacing w:after="0" w:line="240" w:lineRule="auto"/>
        <w:ind w:left="709"/>
        <w:jc w:val="both"/>
        <w:rPr>
          <w:rFonts w:ascii="Times New Roman" w:hAnsi="Times New Roman" w:cs="Times New Roman"/>
          <w:sz w:val="28"/>
          <w:szCs w:val="28"/>
        </w:rPr>
      </w:pPr>
    </w:p>
    <w:sectPr w:rsidR="00CC0459" w:rsidRPr="00531242" w:rsidSect="00B95C2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3744"/>
    <w:multiLevelType w:val="hybridMultilevel"/>
    <w:tmpl w:val="E13EA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2D1FC2"/>
    <w:multiLevelType w:val="hybridMultilevel"/>
    <w:tmpl w:val="5E8A3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1E730B0"/>
    <w:multiLevelType w:val="hybridMultilevel"/>
    <w:tmpl w:val="CD1EB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12518DD"/>
    <w:multiLevelType w:val="hybridMultilevel"/>
    <w:tmpl w:val="1E749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64304B50"/>
    <w:multiLevelType w:val="hybridMultilevel"/>
    <w:tmpl w:val="FE7A3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3A7A31"/>
    <w:multiLevelType w:val="hybridMultilevel"/>
    <w:tmpl w:val="1062C0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96036F3"/>
    <w:multiLevelType w:val="hybridMultilevel"/>
    <w:tmpl w:val="7716E9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838159805">
    <w:abstractNumId w:val="0"/>
  </w:num>
  <w:num w:numId="2" w16cid:durableId="1535540185">
    <w:abstractNumId w:val="5"/>
  </w:num>
  <w:num w:numId="3" w16cid:durableId="1512646312">
    <w:abstractNumId w:val="6"/>
  </w:num>
  <w:num w:numId="4" w16cid:durableId="1378967149">
    <w:abstractNumId w:val="2"/>
  </w:num>
  <w:num w:numId="5" w16cid:durableId="1423796306">
    <w:abstractNumId w:val="3"/>
  </w:num>
  <w:num w:numId="6" w16cid:durableId="467867195">
    <w:abstractNumId w:val="1"/>
  </w:num>
  <w:num w:numId="7" w16cid:durableId="514737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E7258F"/>
    <w:rsid w:val="00070B6A"/>
    <w:rsid w:val="000A0753"/>
    <w:rsid w:val="000F7627"/>
    <w:rsid w:val="00254B04"/>
    <w:rsid w:val="002E53CF"/>
    <w:rsid w:val="00377B01"/>
    <w:rsid w:val="00377B35"/>
    <w:rsid w:val="00415692"/>
    <w:rsid w:val="004655A3"/>
    <w:rsid w:val="00490A7D"/>
    <w:rsid w:val="004A14A6"/>
    <w:rsid w:val="00527869"/>
    <w:rsid w:val="00531242"/>
    <w:rsid w:val="00597EEB"/>
    <w:rsid w:val="00655934"/>
    <w:rsid w:val="006968AD"/>
    <w:rsid w:val="00725428"/>
    <w:rsid w:val="007F35E9"/>
    <w:rsid w:val="00857AAD"/>
    <w:rsid w:val="0089381F"/>
    <w:rsid w:val="008D09EE"/>
    <w:rsid w:val="008D3F52"/>
    <w:rsid w:val="008F151D"/>
    <w:rsid w:val="00910420"/>
    <w:rsid w:val="00963CC9"/>
    <w:rsid w:val="00A53B26"/>
    <w:rsid w:val="00A7508B"/>
    <w:rsid w:val="00AD0D7F"/>
    <w:rsid w:val="00AE492A"/>
    <w:rsid w:val="00B72ED3"/>
    <w:rsid w:val="00B80306"/>
    <w:rsid w:val="00B95C2C"/>
    <w:rsid w:val="00BB7CDA"/>
    <w:rsid w:val="00BF5AF3"/>
    <w:rsid w:val="00C02E14"/>
    <w:rsid w:val="00C126AE"/>
    <w:rsid w:val="00C7127E"/>
    <w:rsid w:val="00C8374D"/>
    <w:rsid w:val="00CC0459"/>
    <w:rsid w:val="00E613DD"/>
    <w:rsid w:val="00E7258F"/>
    <w:rsid w:val="00E930A1"/>
    <w:rsid w:val="00EE097F"/>
    <w:rsid w:val="00F238C9"/>
    <w:rsid w:val="00F604B1"/>
    <w:rsid w:val="00F64865"/>
    <w:rsid w:val="00F65821"/>
    <w:rsid w:val="00FF1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0E8C"/>
  <w15:docId w15:val="{E1B95C49-C104-46E3-8C43-7616AE26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753"/>
    <w:pPr>
      <w:ind w:left="720"/>
      <w:contextualSpacing/>
    </w:pPr>
  </w:style>
  <w:style w:type="character" w:styleId="a4">
    <w:name w:val="Hyperlink"/>
    <w:basedOn w:val="a0"/>
    <w:uiPriority w:val="99"/>
    <w:unhideWhenUsed/>
    <w:rsid w:val="000F7627"/>
    <w:rPr>
      <w:color w:val="0000FF" w:themeColor="hyperlink"/>
      <w:u w:val="single"/>
    </w:rPr>
  </w:style>
  <w:style w:type="paragraph" w:styleId="a5">
    <w:name w:val="Balloon Text"/>
    <w:basedOn w:val="a"/>
    <w:link w:val="a6"/>
    <w:uiPriority w:val="99"/>
    <w:semiHidden/>
    <w:unhideWhenUsed/>
    <w:rsid w:val="00F658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5821"/>
    <w:rPr>
      <w:rFonts w:ascii="Tahoma" w:hAnsi="Tahoma" w:cs="Tahoma"/>
      <w:sz w:val="16"/>
      <w:szCs w:val="16"/>
    </w:rPr>
  </w:style>
  <w:style w:type="paragraph" w:styleId="a7">
    <w:name w:val="Body Text"/>
    <w:basedOn w:val="a"/>
    <w:link w:val="a8"/>
    <w:rsid w:val="00377B35"/>
    <w:pPr>
      <w:autoSpaceDE w:val="0"/>
      <w:autoSpaceDN w:val="0"/>
      <w:adjustRightInd w:val="0"/>
      <w:spacing w:after="120" w:line="240" w:lineRule="auto"/>
      <w:ind w:firstLine="709"/>
      <w:jc w:val="both"/>
    </w:pPr>
    <w:rPr>
      <w:rFonts w:ascii="Times New Roman" w:eastAsia="Times New Roman" w:hAnsi="Times New Roman" w:cs="Times New Roman"/>
      <w:sz w:val="28"/>
      <w:szCs w:val="28"/>
      <w:lang w:val="x-none" w:eastAsia="x-none"/>
    </w:rPr>
  </w:style>
  <w:style w:type="character" w:customStyle="1" w:styleId="a8">
    <w:name w:val="Основной текст Знак"/>
    <w:basedOn w:val="a0"/>
    <w:link w:val="a7"/>
    <w:rsid w:val="00377B35"/>
    <w:rPr>
      <w:rFonts w:ascii="Times New Roman" w:eastAsia="Times New Roman" w:hAnsi="Times New Roman" w:cs="Times New Roman"/>
      <w:sz w:val="28"/>
      <w:szCs w:val="28"/>
      <w:lang w:val="x-none" w:eastAsia="x-none"/>
    </w:rPr>
  </w:style>
  <w:style w:type="character" w:styleId="a9">
    <w:name w:val="Unresolved Mention"/>
    <w:basedOn w:val="a0"/>
    <w:uiPriority w:val="99"/>
    <w:semiHidden/>
    <w:unhideWhenUsed/>
    <w:rsid w:val="00910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3</Pages>
  <Words>1085</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Бажмина Валенитина Николаевна</dc:creator>
  <cp:keywords/>
  <dc:description/>
  <cp:lastModifiedBy>Зюляева Анна Владимировна</cp:lastModifiedBy>
  <cp:revision>14</cp:revision>
  <cp:lastPrinted>2023-12-12T07:56:00Z</cp:lastPrinted>
  <dcterms:created xsi:type="dcterms:W3CDTF">2023-12-11T13:45:00Z</dcterms:created>
  <dcterms:modified xsi:type="dcterms:W3CDTF">2024-01-19T06:05:00Z</dcterms:modified>
</cp:coreProperties>
</file>